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docProps\app.xml><?xml version="1.0" encoding="utf-8"?>
<Properties xmlns="http://schemas.openxmlformats.org/officeDocument/2006/extended-properties" xmlns:vt="http://schemas.openxmlformats.org/officeDocument/2006/docPropsVTypes">
  <Template>Normal</Template>
  <TotalTime>0</TotalTime>
  <Pages>2</Pages>
  <Words>9939</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2024-02-22T15:31:44Z</dcterms:created>
  <dcterms:modified xsi:type="dcterms:W3CDTF">2024-02-22T15:31:44Z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5162F693">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699FE5B8">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2425F2E5">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Prior to submitting an application for the Permit to VDEQ, Company shall submit such application to the County for review and comment. Upon Company’s submission of such application to VDEQ, and upon receipt of VDEQ’s draft or proposed Permit, Company shall submit the same to the County for review and comment; and this process shall be repeated until VDEQ approves the draft or proposed Permit.</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51912327">
      <w:pPr>
        <w:pStyle w:val="ListParagraph"/>
        <w:numPr>
          <w:ilvl w:val="2"/>
          <w:numId w:val="13"/>
        </w:numPr>
        <w:ind w:left="0" w:firstLine="2160"/>
        <w:jc w:val="both"/>
        <w:rPr>
          <w:strike/>
          <w:color w:val="FF0000"/>
        </w:rPr>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3A900C32">
      <w:pPr>
        <w:pStyle w:val="ListParagraph"/>
        <w:numPr>
          <w:ilvl w:val="2"/>
          <w:numId w:val="13"/>
        </w:numPr>
        <w:ind w:left="0" w:firstLine="2160"/>
        <w:jc w:val="both"/>
      </w:pPr>
      <w:r>
        <w:t>Company’s design for a liner system</w:t>
      </w:r>
      <w:r w:rsidR="00DB7BA1">
        <w:t xml:space="preserve"> (the “</w:t>
      </w:r>
      <w:r w:rsidRPr="00D90DEE" w:rsid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3AEEEE5E">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Groundwater Monitoring System</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2497D48">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r>
        <w:t>:</w:t>
      </w:r>
    </w:p>
    <w:p w:rsidR="00C46767" w:rsidP="00C46767" w14:paraId="597DA9FF" w14:textId="77777777">
      <w:pPr>
        <w:pStyle w:val="ListParagraph"/>
      </w:pPr>
    </w:p>
    <w:p w:rsidR="00C379F0" w:rsidRPr="00C46767" w:rsidP="00C46767" w14:paraId="3B23A7F4" w14:textId="2FEAFF98">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4DD10F1">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rsidR="007E4490" w:rsidRPr="007E4490" w:rsidP="007E4490" w14:paraId="19129420" w14:textId="77777777">
      <w:pPr>
        <w:pStyle w:val="ListParagraph"/>
        <w:rPr>
          <w:b/>
          <w:bCs/>
        </w:rPr>
      </w:pPr>
    </w:p>
    <w:p w:rsidR="0066267F" w:rsidRPr="00D90DEE" w:rsidP="0066267F" w14:paraId="384898F0" w14:textId="0D7DEE6E">
      <w:pPr>
        <w:pStyle w:val="ListParagraph"/>
        <w:numPr>
          <w:ilvl w:val="1"/>
          <w:numId w:val="13"/>
        </w:numPr>
        <w:ind w:left="0" w:firstLine="1440"/>
        <w:jc w:val="both"/>
        <w:rPr>
          <w:b/>
          <w:bCs/>
        </w:rPr>
      </w:pPr>
      <w:r>
        <w:t xml:space="preserve">In the event the </w:t>
      </w:r>
      <w:r w:rsidRPr="007A45C4" w:rsidR="007A45C4">
        <w:t xml:space="preserve">Landfill Liaison </w:t>
      </w:r>
      <w:r>
        <w:t>identifies any non-compliance with the Construction R</w:t>
      </w:r>
      <w:r w:rsidRPr="00D90DEE">
        <w:t xml:space="preserve">equirements, </w:t>
      </w:r>
      <w:r w:rsidRPr="00D90DEE" w:rsidR="001E1375">
        <w:t>the Landfill Liaison shall provide written notice to the County administration.</w:t>
      </w:r>
      <w:r w:rsidRPr="00D90DEE" w:rsidR="001E1375">
        <w:rPr>
          <w:color w:val="FF0000"/>
        </w:rPr>
        <w:t xml:space="preserve"> </w:t>
      </w:r>
    </w:p>
    <w:p w:rsidR="00D90DEE" w:rsidRPr="00D90DEE" w:rsidP="00D90DEE" w14:paraId="3330B6BF" w14:textId="77777777">
      <w:pPr>
        <w:pStyle w:val="ListParagraph"/>
        <w:ind w:left="1440"/>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6F67F96">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67488FC2">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50F96F64">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1FDDAB0D">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shall be adjusted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rsidR="005F108D">
        <w:t xml:space="preserve">. </w:t>
      </w:r>
      <w:r w:rsidR="005D1C4D">
        <w:t>The Host Fee</w:t>
      </w:r>
      <w:r w:rsidRPr="005F108D" w:rsidR="005F108D">
        <w:t xml:space="preserve"> shall increase </w:t>
      </w:r>
      <w:r w:rsidR="00EC282F">
        <w:t xml:space="preserve">accordingly </w:t>
      </w:r>
      <w:r w:rsidRPr="005F108D" w:rsidR="005F108D">
        <w:t xml:space="preserve">in the event the </w:t>
      </w:r>
      <w:r w:rsidR="005D1C4D">
        <w:t xml:space="preserve">Maximum Volume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provide such notice prior to January 1 of any applicable year, the </w:t>
      </w:r>
      <w:r w:rsidR="006200BB">
        <w:t xml:space="preserve">Host Fee </w:t>
      </w:r>
      <w:r w:rsidR="005E535B">
        <w:t>increase shall not take place until thirty (30) days after such written notice is provided by the County.</w:t>
      </w:r>
    </w:p>
    <w:p w:rsidR="005D1C4D" w:rsidP="005D1C4D" w14:paraId="1994CFCF" w14:textId="77777777">
      <w:pPr>
        <w:pStyle w:val="ListParagraph"/>
      </w:pPr>
    </w:p>
    <w:p w:rsidR="005D1C4D" w:rsidP="00CB5A0C" w14:paraId="115233AB" w14:textId="2C27341E">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r w:rsidR="00A37B2B">
        <w:t>Notwithstanding the foregoing, Company agrees that it shall not offer any party a tipping fee rate which is less than the rate charged to the County.</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116E9287">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2CCBEA23">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BB516F6">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T</w:t>
      </w:r>
      <w:r>
        <w:t xml:space="preserve">he primary method of disposal at the Landfill (other than County Waste) shall be performed by rail. </w:t>
      </w:r>
      <w:r>
        <w:t xml:space="preserve">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w:t>
      </w:r>
      <w:r>
        <w:t xml:space="preserve">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22097C84">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01619C5A">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011ADFD3">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rsidR="00C2431B">
        <w:t>one</w:t>
      </w:r>
      <w:r>
        <w:t xml:space="preserve"> thousand (</w:t>
      </w:r>
      <w:r w:rsidR="00C2431B">
        <w:t>1</w:t>
      </w:r>
      <w:r w:rsidRPr="004C7B13">
        <w:t>,000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292FDC5">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456B4625">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1747DC">
        <w:t>s</w:t>
      </w:r>
      <w:r w:rsidRPr="00124DD4" w:rsidR="006A4DD2">
        <w:t>ystem</w:t>
      </w:r>
      <w:r w:rsidR="00C45955">
        <w:t xml:space="preserve"> </w:t>
      </w:r>
      <w:r w:rsidR="001747DC">
        <w:t>(the “</w:t>
      </w:r>
      <w:r w:rsidRPr="001747DC" w:rsidR="001747DC">
        <w:rPr>
          <w:b/>
          <w:bCs/>
        </w:rPr>
        <w:t>Leachate Management System</w:t>
      </w:r>
      <w:r w:rsidR="001747DC">
        <w:t xml:space="preserve">”) </w:t>
      </w:r>
      <w:r w:rsidR="00C45955">
        <w:t>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Pr="00053DD0" w:rsidR="00053DD0">
        <w:t xml:space="preserve">for up to </w:t>
      </w:r>
      <w:r w:rsidR="001C5AE6">
        <w:t>sixty (6</w:t>
      </w:r>
      <w:r w:rsidRPr="00053DD0" w:rsid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01222CE8">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76CF77F4">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46767" w:rsidP="00C46767" w14:paraId="00D4DDFC" w14:textId="61F29573">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C45955" w:rsidP="00C45955" w14:paraId="01CA61A6" w14:textId="77777777">
      <w:pPr>
        <w:pStyle w:val="ListParagraph"/>
      </w:pPr>
    </w:p>
    <w:p w:rsidR="00C45955" w:rsidP="00CB5A0C" w14:paraId="056B55E2" w14:textId="7B319648">
      <w:pPr>
        <w:pStyle w:val="ListParagraph"/>
        <w:numPr>
          <w:ilvl w:val="0"/>
          <w:numId w:val="16"/>
        </w:numPr>
        <w:ind w:left="0" w:firstLine="720"/>
        <w:jc w:val="both"/>
      </w:pPr>
      <w:r w:rsidRPr="00C45955">
        <w:rPr>
          <w:u w:val="single"/>
        </w:rPr>
        <w:t>Landfill Liner</w:t>
      </w:r>
      <w:r>
        <w:t>.</w:t>
      </w:r>
      <w:r w:rsidR="001D0168">
        <w:t xml:space="preserve"> Company shall maintain the Landfill Liner System throughout the Term in accordance with the designs set forth in the Pre-Development Package and all Governmental Requirements.</w:t>
      </w:r>
    </w:p>
    <w:p w:rsidR="00970963" w:rsidP="00D90DEE" w14:paraId="28E9D670" w14:textId="77777777"/>
    <w:p w:rsidR="00970963" w:rsidRPr="00053DD0" w:rsidP="00CB5A0C" w14:paraId="1E727B1D" w14:textId="4FCBE563">
      <w:pPr>
        <w:pStyle w:val="ListParagraph"/>
        <w:numPr>
          <w:ilvl w:val="0"/>
          <w:numId w:val="16"/>
        </w:numPr>
        <w:ind w:left="0" w:firstLine="720"/>
        <w:jc w:val="both"/>
      </w:pPr>
      <w:r w:rsidRPr="00970963">
        <w:rPr>
          <w:u w:val="single"/>
        </w:rPr>
        <w:t>Split Samples</w:t>
      </w:r>
      <w:r>
        <w:t>. Company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02E19C2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88EB16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C2431B" w:rsidP="00CB5A0C" w14:paraId="4904D22A" w14:textId="1BE85257">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w:t>
      </w:r>
      <w:r w:rsidR="001700F7">
        <w:t xml:space="preserve">. </w:t>
      </w:r>
      <w:r w:rsidRPr="00C2431B">
        <w:t xml:space="preserve">Company shall </w:t>
      </w:r>
      <w:r w:rsidRPr="00C2431B" w:rsidR="0062668B">
        <w:t xml:space="preserve">promptly </w:t>
      </w:r>
      <w:r w:rsidRPr="00C2431B">
        <w:t xml:space="preserve">cooperate </w:t>
      </w:r>
      <w:r w:rsidRPr="00C2431B" w:rsidR="0062668B">
        <w:t xml:space="preserve">and assist </w:t>
      </w:r>
      <w:r w:rsidRPr="00C2431B">
        <w:t xml:space="preserve">with any </w:t>
      </w:r>
      <w:r w:rsidRPr="00C2431B" w:rsidR="00707227">
        <w:t>request</w:t>
      </w:r>
      <w:r w:rsidRPr="00C2431B" w:rsidR="0062668B">
        <w:t xml:space="preserve"> by the County to withdraw funds from the Performance Bond in order to satisfy Company’s obligations hereunder. In the event that any federal or state agency or authority shall require Company to maintain a similar Performance Bond for the Landfill during the Term, Company may submit the Performance Bond for satisfaction of such requirements and the County shall agree to reasonable modifications of the Performance 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8716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6F55EA" w14:paraId="307D2C74" w14:textId="2522A5DE">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(i)</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274255B">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5" w:name="_Hlk146831284"/>
      <w:r w:rsidRPr="002F6170">
        <w:rPr>
          <w:b/>
          <w:bCs/>
        </w:rPr>
        <w:t>Industrial Waste</w:t>
      </w:r>
      <w:bookmarkEnd w:id="5"/>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9D349F8">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50920EFE">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0F13CA31">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6" w:name="_Hlk146831311"/>
      <w:r w:rsidRPr="002F6170">
        <w:rPr>
          <w:b/>
          <w:bCs/>
        </w:rPr>
        <w:t>Municipal Solid Waste</w:t>
      </w:r>
      <w:bookmarkEnd w:id="6"/>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376F5C60">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83CB1" w:rsidP="00681135" w14:paraId="34709A24" w14:textId="77777777"/>
    <w:p w:rsidR="00D90DEE" w:rsidP="00D90DEE" w14:paraId="43E759B9" w14:textId="45793F16">
      <w:pPr>
        <w:pStyle w:val="ListParagraph"/>
        <w:numPr>
          <w:ilvl w:val="0"/>
          <w:numId w:val="26"/>
        </w:numPr>
        <w:ind w:left="0" w:firstLine="720"/>
        <w:jc w:val="both"/>
      </w:pPr>
      <w:bookmarkStart w:id="7" w:name="_Hlk146831371"/>
      <w:r>
        <w:t>“</w:t>
      </w:r>
      <w:bookmarkStart w:id="8" w:name="_Hlk146831292"/>
      <w:r>
        <w:rPr>
          <w:b/>
          <w:bCs/>
        </w:rPr>
        <w:t>Specialty</w:t>
      </w:r>
      <w:r w:rsidRPr="00E46C4C">
        <w:rPr>
          <w:b/>
          <w:bCs/>
        </w:rPr>
        <w:t xml:space="preserve"> Hazardous</w:t>
      </w:r>
      <w:r>
        <w:rPr>
          <w:b/>
          <w:bCs/>
        </w:rPr>
        <w:t xml:space="preserve"> </w:t>
      </w:r>
      <w:r w:rsidRPr="00E46C4C">
        <w:rPr>
          <w:b/>
          <w:bCs/>
        </w:rPr>
        <w:t>Wastes</w:t>
      </w:r>
      <w:bookmarkEnd w:id="8"/>
      <w:r>
        <w:t xml:space="preserve">” shall have the meaning set forth in </w:t>
      </w:r>
      <w:r w:rsidRPr="00E46C4C">
        <w:rPr>
          <w:u w:val="single"/>
        </w:rPr>
        <w:t>Section 1.1(a)(</w:t>
      </w:r>
      <w:r>
        <w:rPr>
          <w:u w:val="single"/>
        </w:rPr>
        <w:t>viii</w:t>
      </w:r>
      <w:r w:rsidRPr="00E46C4C">
        <w:rPr>
          <w:u w:val="single"/>
        </w:rPr>
        <w:t>)</w:t>
      </w:r>
      <w:r>
        <w:t>.</w:t>
      </w:r>
    </w:p>
    <w:p w:rsidR="00D90DEE" w:rsidP="00D90DEE" w14:paraId="1D69E38E" w14:textId="77777777">
      <w:pPr>
        <w:pStyle w:val="ListParagraph"/>
      </w:pPr>
    </w:p>
    <w:p w:rsidR="00DB5D79" w:rsidP="00CB5A0C" w14:paraId="41BB1D1C" w14:textId="4CD03E1D">
      <w:pPr>
        <w:pStyle w:val="ListParagraph"/>
        <w:numPr>
          <w:ilvl w:val="0"/>
          <w:numId w:val="26"/>
        </w:numPr>
        <w:ind w:left="0" w:firstLine="720"/>
        <w:jc w:val="both"/>
      </w:pPr>
      <w:r>
        <w:t>“</w:t>
      </w:r>
      <w:r w:rsidRPr="00DB5D79">
        <w:rPr>
          <w:b/>
          <w:bCs/>
        </w:rPr>
        <w:t>Specialty Waste</w:t>
      </w:r>
      <w:bookmarkEnd w:id="7"/>
      <w:r>
        <w:t xml:space="preserve">” means </w:t>
      </w:r>
      <w:r w:rsidR="00D31DE1">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EC0A98">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rsidR="00681135" w:rsidRPr="00D90DEE" w:rsidP="00D90DEE" w14:paraId="11C9BA19" w14:textId="77777777">
      <w:pPr>
        <w:rPr>
          <w:b/>
          <w:bCs/>
        </w:rPr>
      </w:pPr>
    </w:p>
    <w:p w:rsidR="00681135" w:rsidP="00681135" w14:paraId="1BE3C014" w14:textId="6BEBCDF3">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235" w14:paraId="573E77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1B33A03D">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5D5BBF">
      <w:rPr>
        <w:sz w:val="18"/>
      </w:rPr>
      <w:instrText>26898/3/11672100v2</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5D5BBF">
      <w:rPr>
        <w:noProof/>
        <w:sz w:val="18"/>
      </w:rPr>
      <w:t>26898/3/11672100v2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7155CEE6">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716330">
      <w:rPr>
        <w:sz w:val="18"/>
      </w:rPr>
      <w:instrText>26898/3/11418787v1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16330">
      <w:rPr>
        <w:noProof/>
        <w:sz w:val="18"/>
      </w:rPr>
      <w:t>26898/3/11418787v1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235" w14:paraId="0E1136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7C9B73CA">
    <w:pPr>
      <w:pStyle w:val="Header"/>
      <w:rPr>
        <w:color w:val="FF0000"/>
      </w:rPr>
    </w:pPr>
    <w:r w:rsidRPr="00147D80">
      <w:rPr>
        <w:color w:val="FF0000"/>
      </w:rPr>
      <w:t>GL DRAFT</w:t>
    </w:r>
    <w:r>
      <w:rPr>
        <w:color w:val="FF0000"/>
      </w:rPr>
      <w:t xml:space="preserve"> </w:t>
    </w:r>
    <w:r w:rsidR="00945947">
      <w:rPr>
        <w:color w:val="FF0000"/>
      </w:rPr>
      <w:t>2.</w:t>
    </w:r>
    <w:r w:rsidR="00C2431B">
      <w:rPr>
        <w:color w:val="FF0000"/>
      </w:rPr>
      <w:t>21</w:t>
    </w:r>
    <w:r w:rsidR="00945947">
      <w:rPr>
        <w:color w:val="FF000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235" w14:paraId="5C409A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700F7"/>
    <w:rsid w:val="001747DC"/>
    <w:rsid w:val="00190620"/>
    <w:rsid w:val="0019290E"/>
    <w:rsid w:val="00195BC2"/>
    <w:rsid w:val="001A30DE"/>
    <w:rsid w:val="001A5C49"/>
    <w:rsid w:val="001C3A03"/>
    <w:rsid w:val="001C5AE6"/>
    <w:rsid w:val="001D0168"/>
    <w:rsid w:val="001E1375"/>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E4C98"/>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56B7"/>
    <w:rsid w:val="00566A92"/>
    <w:rsid w:val="00580450"/>
    <w:rsid w:val="00581AAF"/>
    <w:rsid w:val="00582B02"/>
    <w:rsid w:val="00591887"/>
    <w:rsid w:val="005A1978"/>
    <w:rsid w:val="005A57D9"/>
    <w:rsid w:val="005C3AC9"/>
    <w:rsid w:val="005C53EB"/>
    <w:rsid w:val="005D025F"/>
    <w:rsid w:val="005D0376"/>
    <w:rsid w:val="005D1C4D"/>
    <w:rsid w:val="005D5BBF"/>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07CEE"/>
    <w:rsid w:val="00912D13"/>
    <w:rsid w:val="0092713D"/>
    <w:rsid w:val="00931C97"/>
    <w:rsid w:val="00942B15"/>
    <w:rsid w:val="00943998"/>
    <w:rsid w:val="00945947"/>
    <w:rsid w:val="00951A11"/>
    <w:rsid w:val="009571DD"/>
    <w:rsid w:val="00960DC7"/>
    <w:rsid w:val="00963438"/>
    <w:rsid w:val="00964400"/>
    <w:rsid w:val="00970963"/>
    <w:rsid w:val="00976235"/>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D6FD4"/>
    <w:rsid w:val="00BE0D4B"/>
    <w:rsid w:val="00BE2C90"/>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5CD8"/>
    <w:rsid w:val="00D85CEE"/>
    <w:rsid w:val="00D90DEE"/>
    <w:rsid w:val="00D90F33"/>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F2E03"/>
    <w:rsid w:val="00EF5E2C"/>
    <w:rsid w:val="00F04209"/>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